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5A7E9433" w:rsidR="00697AE2" w:rsidRPr="00CA68DB" w:rsidRDefault="00675799" w:rsidP="00697AE2">
      <w:pPr>
        <w:pStyle w:val="Bezmezer1"/>
        <w:rPr>
          <w:rFonts w:cs="Calibri"/>
          <w:i/>
          <w:iCs/>
        </w:rPr>
      </w:pPr>
      <w:r w:rsidRPr="00CA68DB">
        <w:rPr>
          <w:rFonts w:cs="Calibri"/>
          <w:b/>
          <w:bCs/>
          <w:i/>
          <w:iCs/>
        </w:rPr>
        <w:t>Příloha č. 1 SKSS č. 6</w:t>
      </w:r>
      <w:r w:rsidR="00697AE2" w:rsidRPr="00CA68DB">
        <w:rPr>
          <w:rFonts w:cs="Calibri"/>
          <w:b/>
          <w:bCs/>
          <w:i/>
          <w:iCs/>
        </w:rPr>
        <w:t xml:space="preserve"> – </w:t>
      </w:r>
      <w:r w:rsidR="00013236" w:rsidRPr="00CA68DB">
        <w:rPr>
          <w:rFonts w:cs="Calibri"/>
          <w:b/>
          <w:bCs/>
          <w:i/>
          <w:iCs/>
        </w:rPr>
        <w:t>řád služby</w:t>
      </w: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0F25D85F" w14:textId="39EA631E" w:rsidR="00266B73" w:rsidRPr="00CA68DB" w:rsidRDefault="00697AE2" w:rsidP="00266B73">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5A060B49" w14:textId="0DA8FC6B" w:rsidR="00697AE2" w:rsidRPr="00266B73" w:rsidRDefault="00266B73" w:rsidP="00266B73">
      <w:pPr>
        <w:pStyle w:val="Bezmezer"/>
        <w:jc w:val="center"/>
        <w:rPr>
          <w:rFonts w:ascii="Calibri" w:hAnsi="Calibri"/>
          <w:b/>
          <w:sz w:val="22"/>
          <w:szCs w:val="22"/>
        </w:rPr>
      </w:pPr>
      <w:r w:rsidRPr="00266B73">
        <w:rPr>
          <w:rStyle w:val="apple-style-span"/>
          <w:rFonts w:ascii="Calibri" w:hAnsi="Calibri" w:cs="Calibri"/>
          <w:sz w:val="22"/>
          <w:szCs w:val="22"/>
        </w:rPr>
        <w:t>Odborné sociální poradenství dle § 37 odst. 3 zákona 108/2006 Sb., o sociálních službách</w:t>
      </w:r>
    </w:p>
    <w:p w14:paraId="34EBE1A3" w14:textId="77777777" w:rsidR="00697AE2" w:rsidRPr="00266B73" w:rsidRDefault="00697AE2" w:rsidP="00266B73">
      <w:pPr>
        <w:pStyle w:val="Bezmezer"/>
        <w:jc w:val="center"/>
        <w:rPr>
          <w:rFonts w:ascii="Calibri" w:hAnsi="Calibri"/>
          <w:b/>
          <w:sz w:val="20"/>
          <w:szCs w:val="20"/>
        </w:rPr>
      </w:pPr>
    </w:p>
    <w:p w14:paraId="583BF631" w14:textId="64563DA8" w:rsidR="00697AE2" w:rsidRPr="005E560F" w:rsidRDefault="00697AE2" w:rsidP="00697AE2">
      <w:pPr>
        <w:pStyle w:val="Bezmezer"/>
        <w:rPr>
          <w:rFonts w:ascii="Calibri" w:hAnsi="Calibri"/>
          <w:sz w:val="22"/>
          <w:szCs w:val="22"/>
        </w:rPr>
      </w:pPr>
      <w:r w:rsidRPr="00CA68DB">
        <w:rPr>
          <w:rFonts w:ascii="Calibri" w:hAnsi="Calibri"/>
          <w:b/>
          <w:sz w:val="22"/>
          <w:szCs w:val="22"/>
        </w:rPr>
        <w:t>Adresa kanceláře:</w:t>
      </w:r>
      <w:r w:rsidR="005E560F">
        <w:rPr>
          <w:rFonts w:ascii="Calibri" w:hAnsi="Calibri"/>
          <w:b/>
          <w:sz w:val="22"/>
          <w:szCs w:val="22"/>
        </w:rPr>
        <w:t xml:space="preserve"> </w:t>
      </w:r>
      <w:r w:rsidR="003550CA">
        <w:rPr>
          <w:rFonts w:ascii="Calibri" w:hAnsi="Calibri"/>
          <w:sz w:val="22"/>
          <w:szCs w:val="22"/>
        </w:rPr>
        <w:t>Chelčického 1030, Hradec králové 500 02</w:t>
      </w:r>
    </w:p>
    <w:p w14:paraId="0FE84A5D" w14:textId="77777777" w:rsidR="00697AE2" w:rsidRPr="00CA68DB" w:rsidRDefault="00697AE2" w:rsidP="00697AE2">
      <w:pPr>
        <w:pStyle w:val="Bezmezer"/>
        <w:rPr>
          <w:rFonts w:ascii="Calibri" w:hAnsi="Calibri"/>
          <w:sz w:val="22"/>
          <w:szCs w:val="22"/>
        </w:rPr>
      </w:pPr>
    </w:p>
    <w:p w14:paraId="5D799CDD" w14:textId="2603DFC8"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5E560F">
        <w:rPr>
          <w:rFonts w:ascii="Calibri" w:hAnsi="Calibri"/>
          <w:b/>
          <w:sz w:val="22"/>
          <w:szCs w:val="22"/>
        </w:rPr>
        <w:t xml:space="preserve"> </w:t>
      </w:r>
      <w:r w:rsidR="005E560F" w:rsidRPr="005E560F">
        <w:rPr>
          <w:rFonts w:ascii="Calibri" w:hAnsi="Calibri"/>
          <w:sz w:val="22"/>
          <w:szCs w:val="22"/>
        </w:rPr>
        <w:t xml:space="preserve">Mgr. Kateřina </w:t>
      </w:r>
      <w:proofErr w:type="spellStart"/>
      <w:r w:rsidR="005E560F" w:rsidRPr="005E560F">
        <w:rPr>
          <w:rFonts w:ascii="Calibri" w:hAnsi="Calibri"/>
          <w:sz w:val="22"/>
          <w:szCs w:val="22"/>
        </w:rPr>
        <w:t>Velová</w:t>
      </w:r>
      <w:proofErr w:type="spellEnd"/>
    </w:p>
    <w:p w14:paraId="5117DB8F" w14:textId="77777777" w:rsidR="00697AE2" w:rsidRPr="00CA68DB" w:rsidRDefault="00697AE2" w:rsidP="00697AE2">
      <w:pPr>
        <w:pStyle w:val="Bezmezer"/>
        <w:rPr>
          <w:rFonts w:ascii="Calibri" w:hAnsi="Calibri"/>
          <w:sz w:val="22"/>
          <w:szCs w:val="22"/>
        </w:rPr>
      </w:pPr>
    </w:p>
    <w:p w14:paraId="1C93D69C" w14:textId="16133874" w:rsidR="00A362E6" w:rsidRPr="00A362E6" w:rsidRDefault="00697AE2" w:rsidP="00BA15A0">
      <w:pPr>
        <w:pStyle w:val="Bezmezer"/>
        <w:rPr>
          <w:rFonts w:ascii="Calibri" w:hAnsi="Calibri"/>
          <w:sz w:val="22"/>
          <w:szCs w:val="22"/>
        </w:rPr>
      </w:pPr>
      <w:r w:rsidRPr="00CA68DB">
        <w:rPr>
          <w:rFonts w:ascii="Calibri" w:hAnsi="Calibri"/>
          <w:b/>
          <w:sz w:val="22"/>
          <w:szCs w:val="22"/>
        </w:rPr>
        <w:t>Pracovník v přímé péči:</w:t>
      </w:r>
      <w:r w:rsidR="005E560F">
        <w:rPr>
          <w:rFonts w:ascii="Calibri" w:hAnsi="Calibri"/>
          <w:b/>
          <w:sz w:val="22"/>
          <w:szCs w:val="22"/>
        </w:rPr>
        <w:t xml:space="preserve"> </w:t>
      </w:r>
      <w:r w:rsidR="00BA15A0">
        <w:rPr>
          <w:rFonts w:ascii="Calibri" w:hAnsi="Calibri"/>
          <w:sz w:val="22"/>
          <w:szCs w:val="22"/>
        </w:rPr>
        <w:t>Mgr. Lydie Štěpánková</w:t>
      </w:r>
      <w:r w:rsidR="001C6434">
        <w:rPr>
          <w:rFonts w:ascii="Calibri" w:hAnsi="Calibri"/>
          <w:sz w:val="22"/>
          <w:szCs w:val="22"/>
        </w:rPr>
        <w:t>, Bc. Marie Šimková</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 a úřední hodiny pracovníka v přímé péči:</w:t>
      </w:r>
    </w:p>
    <w:p w14:paraId="40D0E607" w14:textId="77777777" w:rsidR="00697AE2" w:rsidRPr="00CA68DB" w:rsidRDefault="00697AE2" w:rsidP="00697AE2">
      <w:pPr>
        <w:pStyle w:val="Bezmezer"/>
        <w:rPr>
          <w:rFonts w:ascii="Calibri" w:hAnsi="Calibri"/>
          <w:sz w:val="22"/>
          <w:szCs w:val="22"/>
        </w:rPr>
      </w:pPr>
    </w:p>
    <w:p w14:paraId="4F806449" w14:textId="41EEE101" w:rsidR="005B293C" w:rsidRPr="00CA68DB" w:rsidRDefault="00910648" w:rsidP="005B293C">
      <w:pPr>
        <w:jc w:val="center"/>
        <w:rPr>
          <w:rFonts w:ascii="Times New Roman" w:hAnsi="Times New Roman" w:cs="Times New Roman"/>
          <w:b/>
          <w:sz w:val="28"/>
          <w:szCs w:val="28"/>
        </w:rPr>
      </w:pPr>
      <w:r w:rsidRPr="00CA68DB">
        <w:rPr>
          <w:rFonts w:ascii="Times New Roman" w:hAnsi="Times New Roman" w:cs="Times New Roman"/>
          <w:b/>
          <w:sz w:val="28"/>
          <w:szCs w:val="28"/>
        </w:rPr>
        <w:t>od 8:00 do 16:00</w:t>
      </w:r>
      <w:r w:rsidR="005B293C" w:rsidRPr="00CA68DB">
        <w:rPr>
          <w:rFonts w:ascii="Times New Roman" w:hAnsi="Times New Roman" w:cs="Times New Roman"/>
          <w:b/>
          <w:sz w:val="28"/>
          <w:szCs w:val="28"/>
        </w:rPr>
        <w:t xml:space="preserve"> hodin</w:t>
      </w:r>
    </w:p>
    <w:p w14:paraId="0B941D17" w14:textId="79F01E78"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KONTAKTNÍ HODINY </w:t>
      </w:r>
    </w:p>
    <w:tbl>
      <w:tblPr>
        <w:tblStyle w:val="Mkatabulky"/>
        <w:tblW w:w="0" w:type="auto"/>
        <w:tblInd w:w="1766" w:type="dxa"/>
        <w:tblLook w:val="04A0" w:firstRow="1" w:lastRow="0" w:firstColumn="1" w:lastColumn="0" w:noHBand="0" w:noVBand="1"/>
      </w:tblPr>
      <w:tblGrid>
        <w:gridCol w:w="2268"/>
        <w:gridCol w:w="3261"/>
      </w:tblGrid>
      <w:tr w:rsidR="00CA68DB" w:rsidRPr="00CA68DB" w14:paraId="658C5FF3"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3261" w:type="dxa"/>
            <w:tcBorders>
              <w:top w:val="single" w:sz="4" w:space="0" w:color="auto"/>
              <w:left w:val="single" w:sz="4" w:space="0" w:color="auto"/>
              <w:bottom w:val="single" w:sz="4" w:space="0" w:color="auto"/>
              <w:right w:val="single" w:sz="4" w:space="0" w:color="auto"/>
            </w:tcBorders>
            <w:hideMark/>
          </w:tcPr>
          <w:p w14:paraId="678146F7" w14:textId="2FA9331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0F5FFC9C"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3261"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3261" w:type="dxa"/>
            <w:tcBorders>
              <w:top w:val="single" w:sz="4" w:space="0" w:color="auto"/>
              <w:left w:val="single" w:sz="4" w:space="0" w:color="auto"/>
              <w:bottom w:val="single" w:sz="4" w:space="0" w:color="auto"/>
              <w:right w:val="single" w:sz="4" w:space="0" w:color="auto"/>
            </w:tcBorders>
            <w:hideMark/>
          </w:tcPr>
          <w:p w14:paraId="43A039B8" w14:textId="1FC513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1F6B8C6D"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3261"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3261" w:type="dxa"/>
            <w:tcBorders>
              <w:top w:val="single" w:sz="4" w:space="0" w:color="auto"/>
              <w:left w:val="single" w:sz="4" w:space="0" w:color="auto"/>
              <w:bottom w:val="single" w:sz="4" w:space="0" w:color="auto"/>
              <w:right w:val="single" w:sz="4" w:space="0" w:color="auto"/>
            </w:tcBorders>
            <w:hideMark/>
          </w:tcPr>
          <w:p w14:paraId="4BF801F8" w14:textId="5C626A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lastRenderedPageBreak/>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16DBC2F8" w14:textId="042D14E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Máte právo s námi kdykoli ukončit spolupráci, a to i bez udání důvodu</w:t>
      </w:r>
      <w:r w:rsidR="0074178C" w:rsidRPr="00CA68DB">
        <w:rPr>
          <w:rFonts w:ascii="Calibri" w:hAnsi="Calibri"/>
          <w:strike/>
          <w:sz w:val="22"/>
          <w:szCs w:val="22"/>
        </w:rPr>
        <w:t>.</w:t>
      </w:r>
      <w:r w:rsidRPr="00CA68DB">
        <w:rPr>
          <w:rFonts w:ascii="Calibri" w:hAnsi="Calibri"/>
          <w:strike/>
          <w:sz w:val="22"/>
          <w:szCs w:val="22"/>
        </w:rPr>
        <w:t xml:space="preserve"> </w:t>
      </w:r>
    </w:p>
    <w:p w14:paraId="07D36AE8" w14:textId="77777777" w:rsidR="00697AE2" w:rsidRDefault="00697AE2" w:rsidP="00697AE2">
      <w:pPr>
        <w:pStyle w:val="Bezmezer"/>
        <w:rPr>
          <w:rFonts w:ascii="Calibri" w:hAnsi="Calibri"/>
          <w:sz w:val="22"/>
          <w:szCs w:val="22"/>
        </w:rPr>
      </w:pP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bookmarkStart w:id="0" w:name="_GoBack"/>
      <w:bookmarkEnd w:id="0"/>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62B82" w14:textId="77777777" w:rsidR="000D3E86" w:rsidRDefault="000D3E86" w:rsidP="005F707F">
      <w:r>
        <w:separator/>
      </w:r>
    </w:p>
  </w:endnote>
  <w:endnote w:type="continuationSeparator" w:id="0">
    <w:p w14:paraId="3EBE8155" w14:textId="77777777" w:rsidR="000D3E86" w:rsidRDefault="000D3E86"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1C6434">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1C6434">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1EEA1" w14:textId="77777777" w:rsidR="000D3E86" w:rsidRDefault="000D3E86" w:rsidP="005F707F">
      <w:r>
        <w:separator/>
      </w:r>
    </w:p>
  </w:footnote>
  <w:footnote w:type="continuationSeparator" w:id="0">
    <w:p w14:paraId="45AA2F01" w14:textId="77777777" w:rsidR="000D3E86" w:rsidRDefault="000D3E86"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0D3E86"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D7379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D3E86"/>
    <w:rsid w:val="000F1C7F"/>
    <w:rsid w:val="001007EB"/>
    <w:rsid w:val="00106CB5"/>
    <w:rsid w:val="001160CB"/>
    <w:rsid w:val="00150724"/>
    <w:rsid w:val="001660FF"/>
    <w:rsid w:val="001904DF"/>
    <w:rsid w:val="001931C9"/>
    <w:rsid w:val="001C0B16"/>
    <w:rsid w:val="001C6383"/>
    <w:rsid w:val="001C6434"/>
    <w:rsid w:val="001E7439"/>
    <w:rsid w:val="002156A1"/>
    <w:rsid w:val="002320E0"/>
    <w:rsid w:val="00232918"/>
    <w:rsid w:val="002371DF"/>
    <w:rsid w:val="00266B73"/>
    <w:rsid w:val="002841CD"/>
    <w:rsid w:val="002C514A"/>
    <w:rsid w:val="002E18D3"/>
    <w:rsid w:val="00310FA9"/>
    <w:rsid w:val="00316C59"/>
    <w:rsid w:val="003550CA"/>
    <w:rsid w:val="00373CAD"/>
    <w:rsid w:val="00382FFD"/>
    <w:rsid w:val="003A177F"/>
    <w:rsid w:val="003A5697"/>
    <w:rsid w:val="003D4CA4"/>
    <w:rsid w:val="004015C7"/>
    <w:rsid w:val="00417AB7"/>
    <w:rsid w:val="004B0438"/>
    <w:rsid w:val="004C219E"/>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E560F"/>
    <w:rsid w:val="005F707F"/>
    <w:rsid w:val="00623AF5"/>
    <w:rsid w:val="006258A4"/>
    <w:rsid w:val="00635BCF"/>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C0168"/>
    <w:rsid w:val="008C34AE"/>
    <w:rsid w:val="008F21D6"/>
    <w:rsid w:val="00904934"/>
    <w:rsid w:val="00910648"/>
    <w:rsid w:val="00973B24"/>
    <w:rsid w:val="00994824"/>
    <w:rsid w:val="00995F75"/>
    <w:rsid w:val="009A16EA"/>
    <w:rsid w:val="00A11469"/>
    <w:rsid w:val="00A22F8C"/>
    <w:rsid w:val="00A362E6"/>
    <w:rsid w:val="00A36BFF"/>
    <w:rsid w:val="00A51153"/>
    <w:rsid w:val="00A621C1"/>
    <w:rsid w:val="00A8321C"/>
    <w:rsid w:val="00A92C8B"/>
    <w:rsid w:val="00AC484B"/>
    <w:rsid w:val="00AD4A60"/>
    <w:rsid w:val="00AE60A2"/>
    <w:rsid w:val="00B1678F"/>
    <w:rsid w:val="00B75F81"/>
    <w:rsid w:val="00B80325"/>
    <w:rsid w:val="00B94C79"/>
    <w:rsid w:val="00BA15A0"/>
    <w:rsid w:val="00BA3EEE"/>
    <w:rsid w:val="00BA4015"/>
    <w:rsid w:val="00BE31E5"/>
    <w:rsid w:val="00BF25F1"/>
    <w:rsid w:val="00C52A78"/>
    <w:rsid w:val="00C561B7"/>
    <w:rsid w:val="00C5760A"/>
    <w:rsid w:val="00C74307"/>
    <w:rsid w:val="00CA2940"/>
    <w:rsid w:val="00CA4F6F"/>
    <w:rsid w:val="00CA68DB"/>
    <w:rsid w:val="00CD3179"/>
    <w:rsid w:val="00CE2C6E"/>
    <w:rsid w:val="00CE6F5B"/>
    <w:rsid w:val="00D33ADC"/>
    <w:rsid w:val="00D43ED2"/>
    <w:rsid w:val="00D73790"/>
    <w:rsid w:val="00D846DA"/>
    <w:rsid w:val="00DD7C2D"/>
    <w:rsid w:val="00DE296A"/>
    <w:rsid w:val="00E13B42"/>
    <w:rsid w:val="00E13D3C"/>
    <w:rsid w:val="00E21728"/>
    <w:rsid w:val="00E45F31"/>
    <w:rsid w:val="00E76121"/>
    <w:rsid w:val="00EA5151"/>
    <w:rsid w:val="00EE1173"/>
    <w:rsid w:val="00EE4185"/>
    <w:rsid w:val="00EE6511"/>
    <w:rsid w:val="00EE71F9"/>
    <w:rsid w:val="00F12824"/>
    <w:rsid w:val="00F4053F"/>
    <w:rsid w:val="00F467A8"/>
    <w:rsid w:val="00F538E4"/>
    <w:rsid w:val="00F62051"/>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 w:type="character" w:customStyle="1" w:styleId="apple-style-span">
    <w:name w:val="apple-style-span"/>
    <w:uiPriority w:val="99"/>
    <w:qFormat/>
    <w:rsid w:val="00266B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2D53-0486-46CF-96FB-6F938288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3092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5</cp:revision>
  <cp:lastPrinted>2024-03-12T07:59:00Z</cp:lastPrinted>
  <dcterms:created xsi:type="dcterms:W3CDTF">2024-04-24T08:34:00Z</dcterms:created>
  <dcterms:modified xsi:type="dcterms:W3CDTF">2024-05-17T07:46:00Z</dcterms:modified>
</cp:coreProperties>
</file>